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P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val="es-ES_tradnl" w:eastAsia="es-ES"/>
        </w:rPr>
      </w:pPr>
    </w:p>
    <w:p w:rsidR="007968A7" w:rsidRDefault="007968A7" w:rsidP="007968A7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7968A7">
        <w:rPr>
          <w:rFonts w:ascii="Arial Narrow" w:eastAsia="Times New Roman" w:hAnsi="Arial Narrow" w:cs="Courier New"/>
          <w:b/>
          <w:lang w:val="es-ES_tradnl" w:eastAsia="es-ES"/>
        </w:rPr>
        <w:t>Artículo 2.-</w:t>
      </w:r>
      <w:r w:rsidRPr="007968A7">
        <w:rPr>
          <w:rFonts w:ascii="Arial Narrow" w:eastAsia="Times New Roman" w:hAnsi="Arial Narrow" w:cs="Courier New"/>
          <w:lang w:val="es-ES_tradnl" w:eastAsia="es-ES"/>
        </w:rPr>
        <w:t xml:space="preserve"> Para los efectos de la presente Ley, se entenderá por: </w:t>
      </w:r>
    </w:p>
    <w:p w:rsidR="008E5AA6" w:rsidRPr="007968A7" w:rsidRDefault="008E5AA6" w:rsidP="007968A7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</w:p>
    <w:p w:rsidR="007968A7" w:rsidRPr="007968A7" w:rsidRDefault="007968A7" w:rsidP="007968A7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7968A7">
        <w:rPr>
          <w:rFonts w:ascii="Arial Narrow" w:eastAsia="Times New Roman" w:hAnsi="Arial Narrow" w:cs="Arial"/>
          <w:b/>
          <w:lang w:eastAsia="es-ES"/>
        </w:rPr>
        <w:t>VII.</w:t>
      </w:r>
      <w:r w:rsidRPr="007968A7">
        <w:rPr>
          <w:rFonts w:ascii="Arial Narrow" w:eastAsia="Times New Roman" w:hAnsi="Arial Narrow" w:cs="Arial"/>
          <w:lang w:eastAsia="es-ES"/>
        </w:rPr>
        <w:tab/>
        <w:t xml:space="preserve">COPLADEC: El Comité de Planeación para el Desarrollo de Coahuila; </w:t>
      </w:r>
    </w:p>
    <w:p w:rsidR="003963F3" w:rsidRDefault="003963F3"/>
    <w:p w:rsidR="007968A7" w:rsidRPr="00740D27" w:rsidRDefault="007968A7" w:rsidP="007968A7">
      <w:pPr>
        <w:spacing w:after="0" w:line="240" w:lineRule="auto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  <w:r w:rsidRPr="007968A7">
        <w:rPr>
          <w:rFonts w:ascii="Arial Narrow" w:eastAsia="Times New Roman" w:hAnsi="Arial Narrow" w:cs="Arial"/>
          <w:b/>
          <w:lang w:eastAsia="es-ES"/>
        </w:rPr>
        <w:t>Artículo 19.-</w:t>
      </w:r>
      <w:r w:rsidRPr="007968A7">
        <w:rPr>
          <w:rFonts w:ascii="Arial Narrow" w:eastAsia="Times New Roman" w:hAnsi="Arial Narrow" w:cs="Arial"/>
          <w:lang w:eastAsia="es-ES"/>
        </w:rPr>
        <w:t xml:space="preserve"> Los Órganos Ejecutores según las características, complejidad y magnitud de los trabajos, formularán sus programas anuales de obras públicas y de servicios relacionados con las mismas y los que abarquen más de un ejercicio presupuestal, así como sus respectivos presupuestos, </w:t>
      </w:r>
      <w:r w:rsidRPr="00740D27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considerando los alcances contemplados en los expedientes técnicos. </w:t>
      </w:r>
    </w:p>
    <w:p w:rsidR="007968A7" w:rsidRDefault="007968A7"/>
    <w:p w:rsidR="007968A7" w:rsidRPr="007968A7" w:rsidRDefault="007968A7">
      <w:r w:rsidRPr="00DA2E52">
        <w:rPr>
          <w:rFonts w:ascii="Arial Narrow" w:hAnsi="Arial Narrow" w:cs="Arial"/>
          <w:b/>
        </w:rPr>
        <w:t>Artículo 51.-</w:t>
      </w:r>
      <w:r w:rsidRPr="00DA2E52">
        <w:rPr>
          <w:rFonts w:ascii="Arial Narrow" w:hAnsi="Arial Narrow" w:cs="Arial"/>
        </w:rPr>
        <w:t xml:space="preserve"> Con el objeto de obtener los mejores resultados en la ejecución de las obras publicas en el </w:t>
      </w:r>
      <w:bookmarkStart w:id="0" w:name="_GoBack"/>
      <w:r w:rsidRPr="00DA2E52">
        <w:rPr>
          <w:rFonts w:ascii="Arial Narrow" w:hAnsi="Arial Narrow" w:cs="Arial"/>
        </w:rPr>
        <w:t xml:space="preserve">Estado, se establece a los contratistas participantes en licitaciones públicas, invitación a cuando menos tres </w:t>
      </w:r>
      <w:bookmarkEnd w:id="0"/>
      <w:r w:rsidRPr="00DA2E52">
        <w:rPr>
          <w:rFonts w:ascii="Arial Narrow" w:hAnsi="Arial Narrow" w:cs="Arial"/>
        </w:rPr>
        <w:t xml:space="preserve">contratistas o mediante adjudicación directa, así como a los funcionarios y/o servidores públicos responsables de la ejecución de la obras por administración, que por ningún motivo se recibirán conceptos de obra contratados o conceptos ejecutados por administración </w:t>
      </w:r>
      <w:r w:rsidRPr="00740D27">
        <w:rPr>
          <w:rFonts w:ascii="Arial Narrow" w:hAnsi="Arial Narrow" w:cs="Arial"/>
          <w:b/>
          <w:i/>
          <w:u w:val="single"/>
        </w:rPr>
        <w:t>que no cuenten con las especificaciones y la calidad requeridas en el expediente técnico.</w:t>
      </w:r>
      <w:r w:rsidRPr="00DA2E52">
        <w:rPr>
          <w:rFonts w:ascii="Arial Narrow" w:hAnsi="Arial Narrow" w:cs="Arial"/>
        </w:rPr>
        <w:t xml:space="preserve"> Por lo que en caso de existir conceptos de obra que no cumplan con las especificaciones y la calidad requeridas deberán realizar lo conducente para garantizar que dichos conceptos cumplan con lo requerido, sin costo alguno para el Estado</w:t>
      </w:r>
    </w:p>
    <w:sectPr w:rsidR="007968A7" w:rsidRPr="007968A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3963F3"/>
    <w:rsid w:val="00740D27"/>
    <w:rsid w:val="007968A7"/>
    <w:rsid w:val="007E120A"/>
    <w:rsid w:val="008E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2013-04-08T17:39:00Z</dcterms:created>
  <dcterms:modified xsi:type="dcterms:W3CDTF">2013-04-15T13:33:00Z</dcterms:modified>
</cp:coreProperties>
</file>